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14" w14:textId="77777777" w:rsidR="00DC4E8C" w:rsidRDefault="00003799">
      <w:pPr>
        <w:spacing w:after="0"/>
      </w:pPr>
      <w:r>
        <w:rPr>
          <w:highlight w:val="yellow"/>
        </w:rPr>
        <w:t>[DATE]</w:t>
      </w:r>
    </w:p>
    <w:p w14:paraId="00000015" w14:textId="77777777" w:rsidR="00DC4E8C" w:rsidRDefault="00003799">
      <w:r>
        <w:t xml:space="preserve"> </w:t>
      </w:r>
    </w:p>
    <w:p w14:paraId="00000016" w14:textId="77777777" w:rsidR="00DC4E8C" w:rsidRDefault="00003799">
      <w:pPr>
        <w:rPr>
          <w:i/>
        </w:rPr>
      </w:pPr>
      <w:r>
        <w:rPr>
          <w:i/>
        </w:rPr>
        <w:t xml:space="preserve">Submitted via </w:t>
      </w:r>
      <w:r>
        <w:rPr>
          <w:i/>
          <w:color w:val="000000"/>
          <w:u w:val="single"/>
        </w:rPr>
        <w:t>www.regulations.gov</w:t>
      </w:r>
    </w:p>
    <w:p w14:paraId="00000017" w14:textId="77777777" w:rsidR="00DC4E8C" w:rsidRDefault="00003799">
      <w:pPr>
        <w:spacing w:after="0" w:line="240" w:lineRule="auto"/>
      </w:pPr>
      <w:r>
        <w:t>Office of General Counsel, Rules Docket Clerk</w:t>
      </w:r>
    </w:p>
    <w:p w14:paraId="00000018" w14:textId="77777777" w:rsidR="00DC4E8C" w:rsidRDefault="00003799">
      <w:pPr>
        <w:spacing w:after="0" w:line="240" w:lineRule="auto"/>
      </w:pPr>
      <w:r>
        <w:t>Department of Housing and Urban Development</w:t>
      </w:r>
    </w:p>
    <w:p w14:paraId="00000019" w14:textId="77777777" w:rsidR="00DC4E8C" w:rsidRDefault="00003799">
      <w:pPr>
        <w:spacing w:after="0" w:line="240" w:lineRule="auto"/>
      </w:pPr>
      <w:r>
        <w:t>451 7</w:t>
      </w:r>
      <w:r>
        <w:rPr>
          <w:vertAlign w:val="superscript"/>
        </w:rPr>
        <w:t>th</w:t>
      </w:r>
      <w:r>
        <w:t xml:space="preserve"> Street SW, Room 10276 </w:t>
      </w:r>
    </w:p>
    <w:p w14:paraId="0000001A" w14:textId="77777777" w:rsidR="00DC4E8C" w:rsidRDefault="00003799">
      <w:pPr>
        <w:spacing w:after="0" w:line="240" w:lineRule="auto"/>
      </w:pPr>
      <w:r>
        <w:t>Washington, DC 20410-0500</w:t>
      </w:r>
    </w:p>
    <w:p w14:paraId="0000001B" w14:textId="77777777" w:rsidR="00DC4E8C" w:rsidRDefault="00DC4E8C">
      <w:pPr>
        <w:spacing w:after="0" w:line="240" w:lineRule="auto"/>
      </w:pPr>
    </w:p>
    <w:p w14:paraId="0000001C" w14:textId="77777777" w:rsidR="00DC4E8C" w:rsidRDefault="00003799">
      <w:r>
        <w:t>Re: HUD Docket No. FR-6124-P-01, RIN 2501-AD89 Comments in Response to Proposed Rulemaking: Housing and Community Development Act of 1980: Verification of Eligible Status</w:t>
      </w:r>
    </w:p>
    <w:p w14:paraId="0000001D" w14:textId="77777777" w:rsidR="00DC4E8C" w:rsidRDefault="00003799">
      <w:r>
        <w:t>Dear Sir/Madam:</w:t>
      </w:r>
    </w:p>
    <w:p w14:paraId="0000001E" w14:textId="41C4A71F" w:rsidR="00DC4E8C" w:rsidRDefault="00003799" w:rsidP="00B54342">
      <w:r>
        <w:t xml:space="preserve">I am writing on behalf of </w:t>
      </w:r>
      <w:r w:rsidR="00F2212A">
        <w:t>[</w:t>
      </w:r>
      <w:r w:rsidR="00F2212A" w:rsidRPr="00F2212A">
        <w:rPr>
          <w:highlight w:val="yellow"/>
        </w:rPr>
        <w:t>INSERT ORGANIZATION NAME HERE</w:t>
      </w:r>
      <w:r w:rsidR="00F2212A">
        <w:t>]</w:t>
      </w:r>
      <w:r w:rsidR="00501427">
        <w:t xml:space="preserve"> </w:t>
      </w:r>
      <w:r>
        <w:t>in response to the Department of Housing and Urban Development’s (HUD) proposed rule to express our strong opposition to the changes regarding "verification of eligible status,” published in the Federal Register on May 10, 2019 (RIN 2501-AD89; HUD Docket No. FR-6124-P-01).</w:t>
      </w:r>
      <w:r w:rsidR="00CE402D">
        <w:t xml:space="preserve"> </w:t>
      </w:r>
    </w:p>
    <w:p w14:paraId="5AC1D3E9" w14:textId="535692ED" w:rsidR="00CE402D" w:rsidRDefault="00F2212A" w:rsidP="00B54342">
      <w:r>
        <w:t>[</w:t>
      </w:r>
      <w:r w:rsidRPr="00F2212A">
        <w:rPr>
          <w:highlight w:val="yellow"/>
        </w:rPr>
        <w:t>INSERT PARAGRAPH ABOUT YOUR ORGANIZATION HERE</w:t>
      </w:r>
      <w:r>
        <w:t>]</w:t>
      </w:r>
    </w:p>
    <w:p w14:paraId="01874EB9" w14:textId="6C6A82A7" w:rsidR="009B29E6" w:rsidRPr="009B29E6" w:rsidRDefault="0099298B" w:rsidP="00B54342">
      <w:r>
        <w:t xml:space="preserve">We know that secure housing is foundational to child well-being and we must ensure that every child and family has a safe, stable place to call home. </w:t>
      </w:r>
      <w:r w:rsidR="009B29E6">
        <w:t xml:space="preserve">The proposed rule would decrease housing stability for children and their families, which has a negative impact on multiple dimensions of child well-being. </w:t>
      </w:r>
      <w:r w:rsidR="009B29E6" w:rsidRPr="009B59BA">
        <w:t xml:space="preserve">We appreciate the opportunity to comment on </w:t>
      </w:r>
      <w:r w:rsidR="009B29E6">
        <w:t>the proposed rule. We urge HUD to withdraw the proposed rule in its entirety, and keep HUD’s long-standing regulations in effect.</w:t>
      </w:r>
      <w:r w:rsidR="00C73E00">
        <w:t xml:space="preserve"> </w:t>
      </w:r>
    </w:p>
    <w:p w14:paraId="00000022" w14:textId="67800C6C" w:rsidR="00DC4E8C" w:rsidRDefault="00F164CC">
      <w:pPr>
        <w:numPr>
          <w:ilvl w:val="0"/>
          <w:numId w:val="2"/>
        </w:numPr>
        <w:pBdr>
          <w:top w:val="nil"/>
          <w:left w:val="nil"/>
          <w:bottom w:val="nil"/>
          <w:right w:val="nil"/>
          <w:between w:val="nil"/>
        </w:pBdr>
        <w:rPr>
          <w:b/>
          <w:color w:val="000000"/>
        </w:rPr>
      </w:pPr>
      <w:r>
        <w:rPr>
          <w:b/>
          <w:color w:val="000000"/>
        </w:rPr>
        <w:t>The Proposed Rule Will Hurt Tens of Thousands of Eligible People in Mixed Status Families Including Many Citizen Children</w:t>
      </w:r>
      <w:r w:rsidR="00003799">
        <w:rPr>
          <w:b/>
          <w:color w:val="000000"/>
        </w:rPr>
        <w:t>.</w:t>
      </w:r>
      <w:r>
        <w:rPr>
          <w:b/>
          <w:color w:val="000000"/>
        </w:rPr>
        <w:t xml:space="preserve"> </w:t>
      </w:r>
      <w:bookmarkStart w:id="0" w:name="_GoBack"/>
      <w:bookmarkEnd w:id="0"/>
    </w:p>
    <w:p w14:paraId="61E81AA6" w14:textId="62F80DE7" w:rsidR="00683FC4" w:rsidRDefault="00683FC4" w:rsidP="00B54342">
      <w:r>
        <w:t>The proposed rule threatens to undermine the well-being of low-income U.S. citizens, immigrants, and their families. The proposed rule will disproportionately harm families of color and children. Of the individuals in families who will be impacted by this rule, 95 percent are people of color and 53 percent are children.</w:t>
      </w:r>
      <w:r>
        <w:rPr>
          <w:rStyle w:val="FootnoteReference"/>
        </w:rPr>
        <w:footnoteReference w:id="1"/>
      </w:r>
      <w:r>
        <w:t xml:space="preserve"> The proposed rule will impact over 55,000 children who are eligible f</w:t>
      </w:r>
      <w:r>
        <w:t>or the covered housing programs</w:t>
      </w:r>
      <w:r w:rsidR="00B54342">
        <w:t xml:space="preserve">. </w:t>
      </w:r>
    </w:p>
    <w:p w14:paraId="31BCA447" w14:textId="12A8699B" w:rsidR="00B54342" w:rsidRDefault="00B54342" w:rsidP="00B54342">
      <w:r>
        <w:t>Mixed status families will have to make the excruciating decision to either face eviction or separate as a family in order to retain housing stability. Both options will have lasting impacts on child and family health. Research shows that families who are evicted are more likely to experience homelessness, move into substandard or overcrowded housing, and have a sequence of adverse physical and mental health outcomes.</w:t>
      </w:r>
      <w:r>
        <w:rPr>
          <w:vertAlign w:val="superscript"/>
        </w:rPr>
        <w:footnoteReference w:id="2"/>
      </w:r>
      <w:r w:rsidRPr="00B54342">
        <w:rPr>
          <w:vertAlign w:val="superscript"/>
        </w:rPr>
        <w:t xml:space="preserve"> </w:t>
      </w:r>
      <w:r>
        <w:t>The alternative, family separation, is a stressful and traumatizing experience for children, which can alter the architecture of a child’s developing brain and have lifelong consequences.</w:t>
      </w:r>
      <w:r>
        <w:rPr>
          <w:vertAlign w:val="superscript"/>
        </w:rPr>
        <w:footnoteReference w:id="3"/>
      </w:r>
      <w:r w:rsidRPr="00B54342">
        <w:rPr>
          <w:vertAlign w:val="superscript"/>
        </w:rPr>
        <w:t xml:space="preserve"> </w:t>
      </w:r>
      <w:r>
        <w:t xml:space="preserve">Even a temporary separation has an enormous </w:t>
      </w:r>
      <w:r>
        <w:lastRenderedPageBreak/>
        <w:t>negative impact on the health and educational attainment of these children later in life, and many parents struggle to restore the parent-child bond once it has been disrupted by a separation.</w:t>
      </w:r>
      <w:r>
        <w:rPr>
          <w:vertAlign w:val="superscript"/>
        </w:rPr>
        <w:footnoteReference w:id="4"/>
      </w:r>
      <w:r>
        <w:t xml:space="preserve"> </w:t>
      </w:r>
    </w:p>
    <w:p w14:paraId="00000026" w14:textId="606F69DF" w:rsidR="00DC4E8C" w:rsidRDefault="00003799" w:rsidP="00513FE2">
      <w:pPr>
        <w:spacing w:after="0" w:line="240" w:lineRule="auto"/>
      </w:pPr>
      <w:bookmarkStart w:id="1" w:name="_gjdgxs" w:colFirst="0" w:colLast="0"/>
      <w:bookmarkEnd w:id="1"/>
      <w:r>
        <w:t xml:space="preserve">These outcomes will not only hurt families while they struggle to find housing in the short term, but will also lead to reduced opportunities and increased health problems for these </w:t>
      </w:r>
      <w:hyperlink r:id="rId7">
        <w:r>
          <w:t>families in the long term</w:t>
        </w:r>
      </w:hyperlink>
      <w:r>
        <w:t>.</w:t>
      </w:r>
      <w:r>
        <w:rPr>
          <w:vertAlign w:val="superscript"/>
        </w:rPr>
        <w:footnoteReference w:id="5"/>
      </w:r>
      <w:r>
        <w:t xml:space="preserve"> Studies have shown that unstable housing situations can cause individuals to experience increased hospital visits, loss of employment, and are </w:t>
      </w:r>
      <w:r>
        <w:rPr>
          <w:highlight w:val="white"/>
        </w:rPr>
        <w:t xml:space="preserve">associated with increased likelihood of </w:t>
      </w:r>
      <w:r>
        <w:t>mental health problems in children,</w:t>
      </w:r>
      <w:r>
        <w:rPr>
          <w:vertAlign w:val="superscript"/>
        </w:rPr>
        <w:footnoteReference w:id="6"/>
      </w:r>
      <w:r>
        <w:t xml:space="preserve"> and can dramatically increase the risk of an acute episode of a behavioral health condition, including relapse of addiction in adults. Having safe and stable housing is crucial to a person’s good health, sustaining employment, and overall self-sufficiency. These effects will be particularly prominent in the children, nearly all of whom are U.S. citizens, in these mixed status families. Research has shown that economic and housing instability impedes </w:t>
      </w:r>
      <w:hyperlink r:id="rId8">
        <w:r>
          <w:t>children’s cognitive development</w:t>
        </w:r>
      </w:hyperlink>
      <w:r>
        <w:t>, leading to poorer life outcomes as adults.</w:t>
      </w:r>
      <w:r>
        <w:rPr>
          <w:vertAlign w:val="superscript"/>
        </w:rPr>
        <w:footnoteReference w:id="7"/>
      </w:r>
      <w:r>
        <w:t xml:space="preserve"> Housing instability is directly correlated to decreases in student retention rates and contributes to homeless students’ high suspension rates, school turnover, truancy, and expulsions, limiting students’ opportunity to obtain the education they need to succeed later in life.</w:t>
      </w:r>
      <w:r>
        <w:rPr>
          <w:vertAlign w:val="superscript"/>
        </w:rPr>
        <w:footnoteReference w:id="8"/>
      </w:r>
    </w:p>
    <w:p w14:paraId="00000032" w14:textId="6192D516" w:rsidR="00DC4E8C" w:rsidRDefault="00DC4E8C" w:rsidP="00A576D0">
      <w:pPr>
        <w:rPr>
          <w:color w:val="222222"/>
        </w:rPr>
      </w:pPr>
      <w:bookmarkStart w:id="2" w:name="_30j0zll" w:colFirst="0" w:colLast="0"/>
      <w:bookmarkEnd w:id="2"/>
    </w:p>
    <w:p w14:paraId="00000045" w14:textId="6890C1AF" w:rsidR="00DC4E8C" w:rsidRPr="00BC7815" w:rsidRDefault="00003799" w:rsidP="00B059B2">
      <w:pPr>
        <w:numPr>
          <w:ilvl w:val="0"/>
          <w:numId w:val="2"/>
        </w:numPr>
        <w:pBdr>
          <w:top w:val="nil"/>
          <w:left w:val="nil"/>
          <w:bottom w:val="nil"/>
          <w:right w:val="nil"/>
          <w:between w:val="nil"/>
        </w:pBdr>
        <w:rPr>
          <w:b/>
          <w:color w:val="000000"/>
        </w:rPr>
      </w:pPr>
      <w:r w:rsidRPr="00BC7815">
        <w:rPr>
          <w:b/>
        </w:rPr>
        <w:t>The proposed rule will reduce the number of families that receive federally subsidized assistance.</w:t>
      </w:r>
    </w:p>
    <w:p w14:paraId="00000046" w14:textId="3F970873" w:rsidR="00DC4E8C" w:rsidRDefault="00003799" w:rsidP="00A576D0">
      <w:r>
        <w:t>Secretary Carson stated that HUD has promulgated the proposed rule in an effort to address the waitlist crisis for subsidized housing faced by most Public Housing Authorities nationwide.</w:t>
      </w:r>
      <w:r>
        <w:rPr>
          <w:vertAlign w:val="superscript"/>
        </w:rPr>
        <w:footnoteReference w:id="9"/>
      </w:r>
      <w:r>
        <w:t xml:space="preserve"> While it is true that there is a public housing and Section 8 waitlist crisis—there are currently 3 million individuals on voucher waitlists around the country, with an additional 6 million that would like to be on these waitlists</w:t>
      </w:r>
      <w:r>
        <w:rPr>
          <w:vertAlign w:val="superscript"/>
        </w:rPr>
        <w:footnoteReference w:id="10"/>
      </w:r>
      <w:r>
        <w:t xml:space="preserve">—the proposed rule would not alleviate and would, instead, worsen this crisis. By HUD’s own assessment, the proposed rule will likely lead to a </w:t>
      </w:r>
      <w:r>
        <w:rPr>
          <w:i/>
        </w:rPr>
        <w:t>decrease</w:t>
      </w:r>
      <w:r>
        <w:t xml:space="preserve"> in the number of assisted families. According to HUD, if the agency were to replace the 25,000 mixed status families currently receiving HUD assistance with households comprising members who are all eligible, this transition would cost HUD from $372 million to $437 million annually.</w:t>
      </w:r>
      <w:r>
        <w:rPr>
          <w:vertAlign w:val="superscript"/>
        </w:rPr>
        <w:footnoteReference w:id="11"/>
      </w:r>
      <w:r>
        <w:t xml:space="preserve"> </w:t>
      </w:r>
    </w:p>
    <w:p w14:paraId="00000049" w14:textId="0F242D38" w:rsidR="00DC4E8C" w:rsidRDefault="00003799" w:rsidP="00A576D0">
      <w:pPr>
        <w:spacing w:after="0"/>
      </w:pPr>
      <w:r>
        <w:lastRenderedPageBreak/>
        <w:t>To pay for these new costs of the proposed rule,</w:t>
      </w:r>
      <w:r>
        <w:rPr>
          <w:vertAlign w:val="superscript"/>
        </w:rPr>
        <w:footnoteReference w:id="12"/>
      </w:r>
      <w:r>
        <w:t xml:space="preserve"> HUD has surmised that the likeliest scenario, would be that </w:t>
      </w:r>
      <w:r w:rsidRPr="00DB7D08">
        <w:t>HUD would have to reduce the quantity and quality of assisted housing in response to higher costs.</w:t>
      </w:r>
      <w:r>
        <w:t xml:space="preserve"> In this case, the transfer would be from assisted households who experience a decline in assistance (in whole or in part) to the replacement households. With part of the budget being redirected to cover the increase in subsidy, there could be fewer households served under the h</w:t>
      </w:r>
      <w:r w:rsidR="00A576D0">
        <w:t>ousing choice v</w:t>
      </w:r>
      <w:r w:rsidR="00DB7D08">
        <w:t>oucher</w:t>
      </w:r>
      <w:r w:rsidR="00A576D0">
        <w:t xml:space="preserve"> program</w:t>
      </w:r>
      <w:r>
        <w:t>.</w:t>
      </w:r>
      <w:r>
        <w:rPr>
          <w:vertAlign w:val="superscript"/>
        </w:rPr>
        <w:footnoteReference w:id="13"/>
      </w:r>
    </w:p>
    <w:p w14:paraId="0000004A" w14:textId="77777777" w:rsidR="00DC4E8C" w:rsidRDefault="00DC4E8C">
      <w:pPr>
        <w:spacing w:after="0"/>
        <w:ind w:left="720"/>
      </w:pPr>
    </w:p>
    <w:p w14:paraId="0000004C" w14:textId="77777777" w:rsidR="00DC4E8C" w:rsidRDefault="00003799" w:rsidP="00A576D0">
      <w:r>
        <w:t>HUD’s own economic analysis shows that the proposed rule will not only fail to achieve its stated goals of addressing the subsidized housing waitlist crisis, but will in fact exacerbate this very issue. The Regulatory Impact Analysis released by HUD makes it clear that the proposed rule will not further HUD’s mission to “create strong, sustainable, inclusive communities and quality affordable homes for all.”</w:t>
      </w:r>
      <w:r>
        <w:rPr>
          <w:vertAlign w:val="superscript"/>
        </w:rPr>
        <w:footnoteReference w:id="14"/>
      </w:r>
      <w:r>
        <w:t xml:space="preserve"> In fact, the proposed rule will do the exact opposite, reducing the quantity of affordable homes on the market.</w:t>
      </w:r>
    </w:p>
    <w:p w14:paraId="0000005D" w14:textId="4AB3DF09" w:rsidR="00DC4E8C" w:rsidRDefault="00BD16C3">
      <w:pPr>
        <w:spacing w:after="0"/>
        <w:rPr>
          <w:b/>
          <w:u w:val="single"/>
        </w:rPr>
      </w:pPr>
      <w:r w:rsidDel="00BD16C3">
        <w:t xml:space="preserve"> </w:t>
      </w:r>
    </w:p>
    <w:p w14:paraId="0000005E" w14:textId="77777777" w:rsidR="00DC4E8C" w:rsidRDefault="00003799" w:rsidP="00B059B2">
      <w:pPr>
        <w:numPr>
          <w:ilvl w:val="0"/>
          <w:numId w:val="2"/>
        </w:numPr>
        <w:pBdr>
          <w:top w:val="nil"/>
          <w:left w:val="nil"/>
          <w:bottom w:val="nil"/>
          <w:right w:val="nil"/>
          <w:between w:val="nil"/>
        </w:pBdr>
        <w:spacing w:after="0"/>
        <w:rPr>
          <w:b/>
          <w:color w:val="000000"/>
        </w:rPr>
      </w:pPr>
      <w:r>
        <w:rPr>
          <w:b/>
          <w:color w:val="000000"/>
        </w:rPr>
        <w:t>The Rule Would Violate HUD’s Obligation to Affirmatively Further Fair Housing.</w:t>
      </w:r>
    </w:p>
    <w:p w14:paraId="0000005F" w14:textId="77777777" w:rsidR="00DC4E8C" w:rsidRDefault="00003799">
      <w:pPr>
        <w:pBdr>
          <w:top w:val="nil"/>
          <w:left w:val="nil"/>
          <w:bottom w:val="nil"/>
          <w:right w:val="nil"/>
          <w:between w:val="nil"/>
        </w:pBdr>
        <w:tabs>
          <w:tab w:val="left" w:pos="6067"/>
        </w:tabs>
        <w:spacing w:after="0"/>
        <w:ind w:left="1080" w:hanging="720"/>
        <w:rPr>
          <w:b/>
          <w:color w:val="000000"/>
        </w:rPr>
      </w:pPr>
      <w:r>
        <w:rPr>
          <w:b/>
          <w:color w:val="000000"/>
        </w:rPr>
        <w:tab/>
      </w:r>
    </w:p>
    <w:p w14:paraId="00000060" w14:textId="77777777" w:rsidR="00DC4E8C" w:rsidRDefault="00003799" w:rsidP="00A576D0">
      <w:r>
        <w:t>Adoption of HUD’s proposed rule directly violates the agency’s statutory obligation to affirmatively further fair housing. The federal Fair Housing Act (FHA) mandates that the HUD Secretary shall “administer the programs and activities relating to housing and urban development in a manner affirmatively to further the policies of” the FHA.</w:t>
      </w:r>
      <w:r>
        <w:rPr>
          <w:vertAlign w:val="superscript"/>
        </w:rPr>
        <w:footnoteReference w:id="15"/>
      </w:r>
      <w:r>
        <w:t xml:space="preserve"> In its 2015 regulation, HUD defined “Affirmatively further fair housing” to mean “taking meaningful actions, in addition to combating discrimination, that overcome patterns of segregation and foster inclusive communities free from barriers that restrict access to opportunity based on protected characteristics.”</w:t>
      </w:r>
      <w:r>
        <w:rPr>
          <w:vertAlign w:val="superscript"/>
        </w:rPr>
        <w:footnoteReference w:id="16"/>
      </w:r>
      <w:r>
        <w:t xml:space="preserve"> The affirmatively furthering fair housing obligation also includes “fostering and maintaining compliance with civil rights and fair housing laws.” </w:t>
      </w:r>
    </w:p>
    <w:p w14:paraId="7F323F36" w14:textId="44B30660" w:rsidR="00BA7E9F" w:rsidRDefault="00003799" w:rsidP="00A576D0">
      <w:r>
        <w:t xml:space="preserve">The proposed rule does nothing to advance fair housing aims, or compliance with other civil rights laws. Instead, it seeks to do the exact opposite by denying housing opportunities to thousands of immigrant families, using eligible immigration status as a pretext for discriminating against individuals based on their race and national origin. Furthermore, according to HUD’s own analysis, 70 percent of the households negatively impacted by this proposed rule </w:t>
      </w:r>
      <w:r>
        <w:rPr>
          <w:i/>
        </w:rPr>
        <w:t>are families with eligible children</w:t>
      </w:r>
      <w:r>
        <w:t>.</w:t>
      </w:r>
      <w:r>
        <w:rPr>
          <w:vertAlign w:val="superscript"/>
        </w:rPr>
        <w:footnoteReference w:id="17"/>
      </w:r>
      <w:r>
        <w:t xml:space="preserve"> Since minor children comprise the vast majority of eligible occupants of mixed status households,</w:t>
      </w:r>
      <w:r>
        <w:rPr>
          <w:vertAlign w:val="superscript"/>
        </w:rPr>
        <w:footnoteReference w:id="18"/>
      </w:r>
      <w:r>
        <w:t xml:space="preserve"> the proposed rule would also have a disproportionate and devastating impact on families with children. This clearly discriminatory policy is wholly inconsistent with HUD’s obligation to combat housing discrimination and segregation. </w:t>
      </w:r>
    </w:p>
    <w:p w14:paraId="5C3E2183" w14:textId="77777777" w:rsidR="00F94945" w:rsidRDefault="00F94945" w:rsidP="00A576D0"/>
    <w:p w14:paraId="000000B2" w14:textId="1735D64E" w:rsidR="00DC4E8C" w:rsidRDefault="00003799" w:rsidP="007B6155">
      <w:r>
        <w:t>We urge HUD to immediately withdraw its current proposal, and dedicate its efforts to advancing policies that strengthen—rather than undermine—the ability of immigrants to support themselves and their families in the future. If we want</w:t>
      </w:r>
      <w:r w:rsidR="007B6155">
        <w:t xml:space="preserve"> children, families and</w:t>
      </w:r>
      <w:r>
        <w:t xml:space="preserve"> communities to thrive, everyone in those communities must be able to stay together and get the care, services and support they need to remain healthy and productive.</w:t>
      </w:r>
      <w:r w:rsidR="007B6155">
        <w:t xml:space="preserve"> We know that </w:t>
      </w:r>
      <w:r w:rsidR="007B6155">
        <w:lastRenderedPageBreak/>
        <w:t xml:space="preserve">secure housing is foundational to child well-being and we must ensure that every child and family has a safe, stable place to call home. </w:t>
      </w:r>
    </w:p>
    <w:p w14:paraId="000000B3" w14:textId="1DA2409C" w:rsidR="00DC4E8C" w:rsidRDefault="00003799">
      <w:r>
        <w:t xml:space="preserve">Thank you for the opportunity to submit comments on the proposed rulemaking. Please do not hesitate to contact </w:t>
      </w:r>
      <w:r w:rsidR="00F94945">
        <w:t xml:space="preserve">us at </w:t>
      </w:r>
      <w:r w:rsidR="00F2212A">
        <w:t>[</w:t>
      </w:r>
      <w:r w:rsidR="00F2212A" w:rsidRPr="00F2212A">
        <w:rPr>
          <w:highlight w:val="yellow"/>
        </w:rPr>
        <w:t>INSERT CONTACT INFORMATION HERE</w:t>
      </w:r>
      <w:r w:rsidR="00F2212A">
        <w:t>]</w:t>
      </w:r>
      <w:r w:rsidR="00F94945">
        <w:t xml:space="preserve"> if you have questions or need further information</w:t>
      </w:r>
      <w:r>
        <w:t>.</w:t>
      </w:r>
    </w:p>
    <w:p w14:paraId="000000B7" w14:textId="4B4AECB3" w:rsidR="00DC4E8C" w:rsidRPr="00F94945" w:rsidRDefault="00F94945">
      <w:r w:rsidRPr="00F94945">
        <w:t>Sincerely,</w:t>
      </w:r>
    </w:p>
    <w:p w14:paraId="14677575" w14:textId="392A0334" w:rsidR="00F94945" w:rsidRDefault="00AA0CC8" w:rsidP="00F94945">
      <w:pPr>
        <w:spacing w:after="0" w:line="240" w:lineRule="auto"/>
      </w:pPr>
      <w:r>
        <w:t>[</w:t>
      </w:r>
      <w:r w:rsidRPr="00AA0CC8">
        <w:rPr>
          <w:highlight w:val="yellow"/>
        </w:rPr>
        <w:t>NAME</w:t>
      </w:r>
      <w:r>
        <w:t>]</w:t>
      </w:r>
    </w:p>
    <w:p w14:paraId="5C9F4248" w14:textId="77777777" w:rsidR="0070757C" w:rsidRPr="00F94945" w:rsidRDefault="0070757C" w:rsidP="00F94945">
      <w:pPr>
        <w:spacing w:after="0" w:line="240" w:lineRule="auto"/>
      </w:pPr>
    </w:p>
    <w:p w14:paraId="64D5F719" w14:textId="7E068227" w:rsidR="00F94945" w:rsidRPr="00F94945" w:rsidRDefault="00AA0CC8" w:rsidP="00F94945">
      <w:pPr>
        <w:spacing w:after="0" w:line="240" w:lineRule="auto"/>
      </w:pPr>
      <w:r>
        <w:t>[</w:t>
      </w:r>
      <w:r w:rsidRPr="00AA0CC8">
        <w:rPr>
          <w:highlight w:val="yellow"/>
        </w:rPr>
        <w:t>ORGANIZATION AND TITLE</w:t>
      </w:r>
      <w:r>
        <w:t>]</w:t>
      </w:r>
    </w:p>
    <w:sectPr w:rsidR="00F94945" w:rsidRPr="00F94945">
      <w:footerReference w:type="even" r:id="rId9"/>
      <w:footerReference w:type="default" r:id="rId1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2B568" w14:textId="77777777" w:rsidR="00093C74" w:rsidRDefault="00093C74">
      <w:pPr>
        <w:spacing w:after="0" w:line="240" w:lineRule="auto"/>
      </w:pPr>
      <w:r>
        <w:separator/>
      </w:r>
    </w:p>
  </w:endnote>
  <w:endnote w:type="continuationSeparator" w:id="0">
    <w:p w14:paraId="6F9C134E" w14:textId="77777777" w:rsidR="00093C74" w:rsidRDefault="0009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8" w14:textId="77777777" w:rsidR="00DC4E8C" w:rsidRDefault="0000379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29" w14:textId="77777777" w:rsidR="00DC4E8C" w:rsidRDefault="00DC4E8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6" w14:textId="3171056E" w:rsidR="00DC4E8C" w:rsidRDefault="0000379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164CC">
      <w:rPr>
        <w:noProof/>
        <w:color w:val="000000"/>
      </w:rPr>
      <w:t>1</w:t>
    </w:r>
    <w:r>
      <w:rPr>
        <w:color w:val="000000"/>
      </w:rPr>
      <w:fldChar w:fldCharType="end"/>
    </w:r>
  </w:p>
  <w:p w14:paraId="00000127" w14:textId="77777777" w:rsidR="00DC4E8C" w:rsidRDefault="00DC4E8C">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A159" w14:textId="77777777" w:rsidR="00093C74" w:rsidRDefault="00093C74">
      <w:pPr>
        <w:spacing w:after="0" w:line="240" w:lineRule="auto"/>
      </w:pPr>
      <w:r>
        <w:separator/>
      </w:r>
    </w:p>
  </w:footnote>
  <w:footnote w:type="continuationSeparator" w:id="0">
    <w:p w14:paraId="65F0892D" w14:textId="77777777" w:rsidR="00093C74" w:rsidRDefault="00093C74">
      <w:pPr>
        <w:spacing w:after="0" w:line="240" w:lineRule="auto"/>
      </w:pPr>
      <w:r>
        <w:continuationSeparator/>
      </w:r>
    </w:p>
  </w:footnote>
  <w:footnote w:id="1">
    <w:p w14:paraId="585D7F34" w14:textId="77777777" w:rsidR="00683FC4" w:rsidRDefault="00683FC4" w:rsidP="00683FC4">
      <w:pPr>
        <w:pStyle w:val="FootnoteText"/>
      </w:pPr>
      <w:r>
        <w:rPr>
          <w:rStyle w:val="FootnoteReference"/>
        </w:rPr>
        <w:footnoteRef/>
      </w:r>
      <w:r>
        <w:t xml:space="preserve"> Alicia Mazzara, </w:t>
      </w:r>
      <w:r w:rsidRPr="002E5011">
        <w:rPr>
          <w:i/>
        </w:rPr>
        <w:t>Demographic Data Highlight Potential Harm of New Trump Proposal to Restrict Housing Assistance</w:t>
      </w:r>
      <w:r>
        <w:t xml:space="preserve">, </w:t>
      </w:r>
      <w:r w:rsidRPr="002E5011">
        <w:rPr>
          <w:smallCaps/>
        </w:rPr>
        <w:t>Center on Budget and Policy Priorities</w:t>
      </w:r>
      <w:r>
        <w:t xml:space="preserve"> (July 1, 2019). </w:t>
      </w:r>
      <w:hyperlink r:id="rId1" w:history="1">
        <w:r w:rsidRPr="00B052AE">
          <w:rPr>
            <w:rStyle w:val="Hyperlink"/>
          </w:rPr>
          <w:t>https://www.cbpp.org/research/housing/demographic-data-highlight-potential-harm-of-new-trump-proposal-to-restrict-housing</w:t>
        </w:r>
      </w:hyperlink>
      <w:r>
        <w:t xml:space="preserve">. </w:t>
      </w:r>
    </w:p>
  </w:footnote>
  <w:footnote w:id="2">
    <w:p w14:paraId="18F15921" w14:textId="77777777" w:rsidR="00B54342" w:rsidRDefault="00B54342" w:rsidP="00B54342">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Bovell-Ammon A &amp; Sandel M., </w:t>
      </w:r>
      <w:r>
        <w:rPr>
          <w:i/>
          <w:color w:val="000000"/>
          <w:sz w:val="18"/>
          <w:szCs w:val="18"/>
        </w:rPr>
        <w:t>The Hidden Health Crisis of Eviction</w:t>
      </w:r>
      <w:r>
        <w:rPr>
          <w:color w:val="000000"/>
          <w:sz w:val="18"/>
          <w:szCs w:val="18"/>
        </w:rPr>
        <w:t xml:space="preserve">, </w:t>
      </w:r>
      <w:r>
        <w:rPr>
          <w:smallCaps/>
          <w:color w:val="000000"/>
          <w:sz w:val="18"/>
          <w:szCs w:val="18"/>
        </w:rPr>
        <w:t>Bos. U. Sch. of Pub. Health</w:t>
      </w:r>
      <w:r>
        <w:rPr>
          <w:color w:val="000000"/>
          <w:sz w:val="18"/>
          <w:szCs w:val="18"/>
        </w:rPr>
        <w:t xml:space="preserve"> (2018), </w:t>
      </w:r>
      <w:hyperlink r:id="rId2">
        <w:r>
          <w:rPr>
            <w:color w:val="0563C1"/>
            <w:sz w:val="18"/>
            <w:szCs w:val="18"/>
            <w:u w:val="single"/>
          </w:rPr>
          <w:t>http://www.bu.edu/sph/2018/10/05/the-hidden-health-crisis-of-eviction/</w:t>
        </w:r>
      </w:hyperlink>
      <w:r>
        <w:rPr>
          <w:color w:val="000000"/>
          <w:sz w:val="18"/>
          <w:szCs w:val="18"/>
        </w:rPr>
        <w:t>; Desmond M. &amp; Tolbert Kimbro R</w:t>
      </w:r>
      <w:r>
        <w:rPr>
          <w:i/>
          <w:color w:val="000000"/>
          <w:sz w:val="18"/>
          <w:szCs w:val="18"/>
        </w:rPr>
        <w:t>., Evictions Fallout: Housing, Hardship, and Health</w:t>
      </w:r>
      <w:r>
        <w:rPr>
          <w:color w:val="000000"/>
          <w:sz w:val="18"/>
          <w:szCs w:val="18"/>
        </w:rPr>
        <w:t xml:space="preserve">, 94 </w:t>
      </w:r>
      <w:r>
        <w:rPr>
          <w:smallCaps/>
          <w:color w:val="000000"/>
          <w:sz w:val="18"/>
          <w:szCs w:val="18"/>
        </w:rPr>
        <w:t>Social Forces</w:t>
      </w:r>
      <w:r>
        <w:rPr>
          <w:color w:val="000000"/>
          <w:sz w:val="18"/>
          <w:szCs w:val="18"/>
        </w:rPr>
        <w:t xml:space="preserve"> 295 (2015).</w:t>
      </w:r>
    </w:p>
  </w:footnote>
  <w:footnote w:id="3">
    <w:p w14:paraId="7DF4F4B1" w14:textId="77777777" w:rsidR="00B54342" w:rsidRDefault="00B54342" w:rsidP="00B54342">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Simha S., The Impact of Family Separation on Immigrant and Refugee Families, </w:t>
      </w:r>
      <w:r>
        <w:rPr>
          <w:smallCaps/>
          <w:color w:val="000000"/>
          <w:sz w:val="18"/>
          <w:szCs w:val="18"/>
        </w:rPr>
        <w:t>80 N C Med J</w:t>
      </w:r>
      <w:r>
        <w:rPr>
          <w:color w:val="000000"/>
          <w:sz w:val="18"/>
          <w:szCs w:val="18"/>
        </w:rPr>
        <w:t xml:space="preserve">. 95, 96 (2019). </w:t>
      </w:r>
    </w:p>
  </w:footnote>
  <w:footnote w:id="4">
    <w:p w14:paraId="1BE17CE1" w14:textId="77777777" w:rsidR="00B54342" w:rsidRDefault="00B54342" w:rsidP="00B54342">
      <w:pPr>
        <w:spacing w:after="0"/>
        <w:rPr>
          <w:sz w:val="18"/>
          <w:szCs w:val="18"/>
        </w:rPr>
      </w:pPr>
      <w:r>
        <w:rPr>
          <w:vertAlign w:val="superscript"/>
        </w:rPr>
        <w:footnoteRef/>
      </w:r>
      <w:r>
        <w:rPr>
          <w:sz w:val="18"/>
          <w:szCs w:val="18"/>
        </w:rPr>
        <w:t xml:space="preserve"> Laura C. N. Wood, </w:t>
      </w:r>
      <w:r>
        <w:rPr>
          <w:i/>
          <w:sz w:val="18"/>
          <w:szCs w:val="18"/>
        </w:rPr>
        <w:t>Impact of Punitive Immigration Policies, Parent-Child Separation and Child Detention on the Mental Health and Development of Children</w:t>
      </w:r>
      <w:r>
        <w:rPr>
          <w:sz w:val="18"/>
          <w:szCs w:val="18"/>
        </w:rPr>
        <w:t xml:space="preserve">, 2 </w:t>
      </w:r>
      <w:r>
        <w:rPr>
          <w:smallCaps/>
          <w:sz w:val="18"/>
          <w:szCs w:val="18"/>
        </w:rPr>
        <w:t>BMJ Pediatrics Open</w:t>
      </w:r>
      <w:r>
        <w:rPr>
          <w:sz w:val="18"/>
          <w:szCs w:val="18"/>
        </w:rPr>
        <w:t xml:space="preserve"> (2018), </w:t>
      </w:r>
      <w:hyperlink r:id="rId3">
        <w:r>
          <w:rPr>
            <w:color w:val="0563C1"/>
            <w:sz w:val="18"/>
            <w:szCs w:val="18"/>
            <w:u w:val="single"/>
          </w:rPr>
          <w:t>https://www.ncbi.nlm.nih.gov/pmc/articles/PMC6173255/</w:t>
        </w:r>
      </w:hyperlink>
      <w:r>
        <w:rPr>
          <w:sz w:val="18"/>
          <w:szCs w:val="18"/>
        </w:rPr>
        <w:t>.</w:t>
      </w:r>
    </w:p>
  </w:footnote>
  <w:footnote w:id="5">
    <w:p w14:paraId="000000C2"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Megan Sandel et al., </w:t>
      </w:r>
      <w:r>
        <w:rPr>
          <w:i/>
          <w:color w:val="000000"/>
          <w:sz w:val="18"/>
          <w:szCs w:val="18"/>
        </w:rPr>
        <w:t>Unstable Housing and Caregiver and Child Health in Renter Families</w:t>
      </w:r>
      <w:r>
        <w:rPr>
          <w:color w:val="000000"/>
          <w:sz w:val="18"/>
          <w:szCs w:val="18"/>
        </w:rPr>
        <w:t xml:space="preserve">, 141 </w:t>
      </w:r>
      <w:r>
        <w:rPr>
          <w:smallCaps/>
          <w:color w:val="000000"/>
          <w:sz w:val="18"/>
          <w:szCs w:val="18"/>
        </w:rPr>
        <w:t xml:space="preserve">Pediatrics 1 (2018), </w:t>
      </w:r>
      <w:hyperlink r:id="rId4">
        <w:r>
          <w:rPr>
            <w:color w:val="0563C1"/>
            <w:sz w:val="18"/>
            <w:szCs w:val="18"/>
            <w:u w:val="single"/>
          </w:rPr>
          <w:t>http://pediatrics.aappublications.org/content/141/2/e20172199</w:t>
        </w:r>
      </w:hyperlink>
      <w:r>
        <w:rPr>
          <w:color w:val="000000"/>
          <w:sz w:val="18"/>
          <w:szCs w:val="18"/>
        </w:rPr>
        <w:t>.</w:t>
      </w:r>
    </w:p>
  </w:footnote>
  <w:footnote w:id="6">
    <w:p w14:paraId="000000C3"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i/>
          <w:color w:val="000000"/>
          <w:sz w:val="18"/>
          <w:szCs w:val="18"/>
        </w:rPr>
        <w:t>See</w:t>
      </w:r>
      <w:r>
        <w:rPr>
          <w:color w:val="000000"/>
          <w:sz w:val="18"/>
          <w:szCs w:val="18"/>
        </w:rPr>
        <w:t xml:space="preserve"> Will Fischer, </w:t>
      </w:r>
      <w:r>
        <w:rPr>
          <w:i/>
          <w:color w:val="000000"/>
          <w:sz w:val="18"/>
          <w:szCs w:val="18"/>
        </w:rPr>
        <w:t>Research Shows Housing Vouchers Reduce Hardship and Provide Platform for Long-Term Gains Among Children</w:t>
      </w:r>
      <w:r>
        <w:rPr>
          <w:color w:val="000000"/>
          <w:sz w:val="18"/>
          <w:szCs w:val="18"/>
        </w:rPr>
        <w:t xml:space="preserve">, </w:t>
      </w:r>
      <w:r>
        <w:rPr>
          <w:smallCaps/>
          <w:color w:val="000000"/>
          <w:sz w:val="18"/>
          <w:szCs w:val="18"/>
        </w:rPr>
        <w:t>Center on Budget and Policy Priorities</w:t>
      </w:r>
      <w:r>
        <w:rPr>
          <w:color w:val="000000"/>
          <w:sz w:val="18"/>
          <w:szCs w:val="18"/>
        </w:rPr>
        <w:t xml:space="preserve"> (October 7, 2015), </w:t>
      </w:r>
      <w:hyperlink r:id="rId5">
        <w:r>
          <w:rPr>
            <w:color w:val="0563C1"/>
            <w:sz w:val="18"/>
            <w:szCs w:val="18"/>
            <w:u w:val="single"/>
          </w:rPr>
          <w:t>https://www.cbpp.org/research/research-shows-housing-vouchers-reduce-hardship-and-provide-platform-for-longterm-gains</w:t>
        </w:r>
      </w:hyperlink>
      <w:r>
        <w:rPr>
          <w:color w:val="000000"/>
          <w:sz w:val="18"/>
          <w:szCs w:val="18"/>
        </w:rPr>
        <w:t xml:space="preserve">; </w:t>
      </w:r>
      <w:r>
        <w:rPr>
          <w:i/>
          <w:color w:val="000000"/>
          <w:sz w:val="18"/>
          <w:szCs w:val="18"/>
        </w:rPr>
        <w:t xml:space="preserve">see also </w:t>
      </w:r>
      <w:r>
        <w:rPr>
          <w:color w:val="000000"/>
          <w:sz w:val="18"/>
          <w:szCs w:val="18"/>
        </w:rPr>
        <w:t xml:space="preserve">Linda Giannarelli et al., </w:t>
      </w:r>
      <w:r>
        <w:rPr>
          <w:i/>
          <w:color w:val="000000"/>
          <w:sz w:val="18"/>
          <w:szCs w:val="18"/>
        </w:rPr>
        <w:t>Reducing Child Poverty in the US: Costs and Impacts of Policies Proposed by the Children’s Defense Fund</w:t>
      </w:r>
      <w:r>
        <w:rPr>
          <w:color w:val="000000"/>
          <w:sz w:val="18"/>
          <w:szCs w:val="18"/>
        </w:rPr>
        <w:t xml:space="preserve"> (Jan. 2015), </w:t>
      </w:r>
      <w:hyperlink r:id="rId6">
        <w:r>
          <w:rPr>
            <w:color w:val="0563C1"/>
            <w:sz w:val="18"/>
            <w:szCs w:val="18"/>
            <w:u w:val="single"/>
          </w:rPr>
          <w:t>http://www.childrensdefense.org/library/PovertyReport/assets/ReducingChildPovertyintheUSCostsandImpactsofPol iciesProposedbytheChildrensDefenseFund.pdf.</w:t>
        </w:r>
      </w:hyperlink>
    </w:p>
  </w:footnote>
  <w:footnote w:id="7">
    <w:p w14:paraId="000000C4"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smallCaps/>
          <w:color w:val="000000"/>
          <w:sz w:val="18"/>
          <w:szCs w:val="18"/>
        </w:rPr>
        <w:t xml:space="preserve">Heather Sandstrom &amp; Sandra Huerta, The Negative Effects of Instability on Child Development: A research Synthesis (2013), </w:t>
      </w:r>
      <w:hyperlink r:id="rId7">
        <w:r>
          <w:rPr>
            <w:color w:val="0563C1"/>
            <w:sz w:val="18"/>
            <w:szCs w:val="18"/>
            <w:u w:val="single"/>
          </w:rPr>
          <w:t>https://www.urban.org/sites/default/files/publication/32706/412899-The-Negative-Effects-of-Instability-on-Child-Development-A-Research-Synthesis.PDF</w:t>
        </w:r>
      </w:hyperlink>
      <w:r>
        <w:rPr>
          <w:color w:val="000000"/>
          <w:sz w:val="18"/>
          <w:szCs w:val="18"/>
        </w:rPr>
        <w:t>.</w:t>
      </w:r>
    </w:p>
  </w:footnote>
  <w:footnote w:id="8">
    <w:p w14:paraId="000000C5"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i/>
          <w:color w:val="000000"/>
          <w:sz w:val="18"/>
          <w:szCs w:val="18"/>
        </w:rPr>
        <w:t>See</w:t>
      </w:r>
      <w:r>
        <w:rPr>
          <w:color w:val="000000"/>
          <w:sz w:val="18"/>
          <w:szCs w:val="18"/>
        </w:rPr>
        <w:t xml:space="preserve"> Mai Abdul Rahman, The Demographic Profile of Black Homeless High School Students Residing in the District of Columbia Shelters and the Factors that Influence their Education 55 (Mar. 2014) (Ph.D. dissertation, Howard University), available at </w:t>
      </w:r>
      <w:hyperlink r:id="rId8">
        <w:r>
          <w:rPr>
            <w:color w:val="0563C1"/>
            <w:sz w:val="18"/>
            <w:szCs w:val="18"/>
            <w:u w:val="single"/>
          </w:rPr>
          <w:t>http://gradworks.umi.com/3639463.pdf</w:t>
        </w:r>
      </w:hyperlink>
      <w:r>
        <w:rPr>
          <w:color w:val="000000"/>
          <w:sz w:val="18"/>
          <w:szCs w:val="18"/>
        </w:rPr>
        <w:t xml:space="preserve"> (citations omitted).</w:t>
      </w:r>
    </w:p>
  </w:footnote>
  <w:footnote w:id="9">
    <w:p w14:paraId="000000D6"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Tracy Jan, </w:t>
      </w:r>
      <w:r>
        <w:rPr>
          <w:i/>
          <w:color w:val="000000"/>
          <w:sz w:val="18"/>
          <w:szCs w:val="18"/>
        </w:rPr>
        <w:t>Trump Proposal Would Evict Undocumented Immigrants From Public Housing</w:t>
      </w:r>
      <w:r>
        <w:rPr>
          <w:color w:val="000000"/>
          <w:sz w:val="18"/>
          <w:szCs w:val="18"/>
        </w:rPr>
        <w:t xml:space="preserve">, </w:t>
      </w:r>
      <w:r>
        <w:rPr>
          <w:smallCaps/>
          <w:color w:val="000000"/>
          <w:sz w:val="18"/>
          <w:szCs w:val="18"/>
        </w:rPr>
        <w:t xml:space="preserve">Wash. Post </w:t>
      </w:r>
      <w:r>
        <w:rPr>
          <w:color w:val="000000"/>
          <w:sz w:val="18"/>
          <w:szCs w:val="18"/>
        </w:rPr>
        <w:t xml:space="preserve">(Apr. 18, 2019), </w:t>
      </w:r>
      <w:hyperlink r:id="rId9">
        <w:r>
          <w:rPr>
            <w:color w:val="0563C1"/>
            <w:sz w:val="18"/>
            <w:szCs w:val="18"/>
            <w:u w:val="single"/>
          </w:rPr>
          <w:t>https://www.washingtonpost.com/business/2019/04/18/trump-proposal-would-evict-undocumented-immigrants-public-housing/?utm_term=.f68fec836d53</w:t>
        </w:r>
      </w:hyperlink>
      <w:r>
        <w:rPr>
          <w:color w:val="000000"/>
          <w:sz w:val="18"/>
          <w:szCs w:val="18"/>
        </w:rPr>
        <w:t>.</w:t>
      </w:r>
    </w:p>
  </w:footnote>
  <w:footnote w:id="10">
    <w:p w14:paraId="000000D7"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i/>
          <w:color w:val="000000"/>
          <w:sz w:val="18"/>
          <w:szCs w:val="18"/>
        </w:rPr>
        <w:t>See</w:t>
      </w:r>
      <w:r>
        <w:rPr>
          <w:color w:val="000000"/>
          <w:sz w:val="18"/>
          <w:szCs w:val="18"/>
        </w:rPr>
        <w:t xml:space="preserve"> Alicia Mazzara, </w:t>
      </w:r>
      <w:r>
        <w:rPr>
          <w:smallCaps/>
          <w:color w:val="000000"/>
          <w:sz w:val="18"/>
          <w:szCs w:val="18"/>
        </w:rPr>
        <w:t xml:space="preserve">CBPP, </w:t>
      </w:r>
      <w:r>
        <w:rPr>
          <w:i/>
          <w:color w:val="000000"/>
          <w:sz w:val="18"/>
          <w:szCs w:val="18"/>
        </w:rPr>
        <w:t>Housing Vouchers Work: Huge Demand, Insufficient Funding for Housing Vouchers Means Long Waits</w:t>
      </w:r>
      <w:r>
        <w:rPr>
          <w:color w:val="000000"/>
          <w:sz w:val="18"/>
          <w:szCs w:val="18"/>
        </w:rPr>
        <w:t xml:space="preserve"> (Apr. 19, 2017), </w:t>
      </w:r>
      <w:hyperlink r:id="rId10">
        <w:r>
          <w:rPr>
            <w:color w:val="0563C1"/>
            <w:sz w:val="18"/>
            <w:szCs w:val="18"/>
            <w:u w:val="single"/>
          </w:rPr>
          <w:t>https://www.cbpp.org/blog/housing-vouchers-work-huge-demand-insufficient-funding-for-housing-vouchers-means-long-waits</w:t>
        </w:r>
      </w:hyperlink>
      <w:r>
        <w:rPr>
          <w:color w:val="000000"/>
          <w:sz w:val="18"/>
          <w:szCs w:val="18"/>
        </w:rPr>
        <w:t>.</w:t>
      </w:r>
    </w:p>
  </w:footnote>
  <w:footnote w:id="11">
    <w:p w14:paraId="000000D8"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smallCaps/>
          <w:color w:val="000000"/>
          <w:sz w:val="18"/>
          <w:szCs w:val="18"/>
        </w:rPr>
        <w:t xml:space="preserve">HUD, </w:t>
      </w:r>
      <w:r>
        <w:rPr>
          <w:color w:val="000000"/>
          <w:sz w:val="18"/>
          <w:szCs w:val="18"/>
        </w:rPr>
        <w:t xml:space="preserve">Regulatory Impact Analysis, </w:t>
      </w:r>
      <w:r>
        <w:rPr>
          <w:i/>
          <w:color w:val="000000"/>
          <w:sz w:val="18"/>
          <w:szCs w:val="18"/>
        </w:rPr>
        <w:t>Amendments to Further Implement Provisions of the Housing and Community Development Act of 1980</w:t>
      </w:r>
      <w:r>
        <w:rPr>
          <w:color w:val="000000"/>
          <w:sz w:val="18"/>
          <w:szCs w:val="18"/>
        </w:rPr>
        <w:t>, Docket No. FR-6124-P-01, at 11 (Apr. 15, 2019).</w:t>
      </w:r>
    </w:p>
  </w:footnote>
  <w:footnote w:id="12">
    <w:p w14:paraId="000000D9"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Brakkton Booker, </w:t>
      </w:r>
      <w:r>
        <w:rPr>
          <w:i/>
          <w:color w:val="000000"/>
          <w:sz w:val="18"/>
          <w:szCs w:val="18"/>
        </w:rPr>
        <w:t>White House Budget Calls for Deep Cuts to HUD</w:t>
      </w:r>
      <w:r>
        <w:rPr>
          <w:color w:val="000000"/>
          <w:sz w:val="18"/>
          <w:szCs w:val="18"/>
        </w:rPr>
        <w:t xml:space="preserve">, NPR (Feb. 13, 2018), </w:t>
      </w:r>
      <w:hyperlink r:id="rId11">
        <w:r>
          <w:rPr>
            <w:color w:val="0563C1"/>
            <w:sz w:val="18"/>
            <w:szCs w:val="18"/>
            <w:u w:val="single"/>
          </w:rPr>
          <w:t>https://www.npr.org/2018/02/13/585255697/white-house-budget-calls-for-deep-cuts-to-hud</w:t>
        </w:r>
      </w:hyperlink>
      <w:r>
        <w:rPr>
          <w:color w:val="000000"/>
          <w:sz w:val="18"/>
          <w:szCs w:val="18"/>
        </w:rPr>
        <w:t xml:space="preserve">. </w:t>
      </w:r>
    </w:p>
  </w:footnote>
  <w:footnote w:id="13">
    <w:p w14:paraId="000000DA"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smallCaps/>
          <w:color w:val="000000"/>
          <w:sz w:val="18"/>
          <w:szCs w:val="18"/>
        </w:rPr>
        <w:t xml:space="preserve">HUD, </w:t>
      </w:r>
      <w:r>
        <w:rPr>
          <w:color w:val="000000"/>
          <w:sz w:val="18"/>
          <w:szCs w:val="18"/>
        </w:rPr>
        <w:t xml:space="preserve">Regulatory Impact Analysis, </w:t>
      </w:r>
      <w:r>
        <w:rPr>
          <w:i/>
          <w:color w:val="000000"/>
          <w:sz w:val="18"/>
          <w:szCs w:val="18"/>
        </w:rPr>
        <w:t>Amendments to Further Implement Provisions of the Housing and Community Development Act of 1980</w:t>
      </w:r>
      <w:r>
        <w:rPr>
          <w:color w:val="000000"/>
          <w:sz w:val="18"/>
          <w:szCs w:val="18"/>
        </w:rPr>
        <w:t>, Docket No. FR-6124-P-01, at 3 (Apr. 15, 2019) (emphasis added).</w:t>
      </w:r>
    </w:p>
  </w:footnote>
  <w:footnote w:id="14">
    <w:p w14:paraId="000000DB" w14:textId="77777777" w:rsidR="00DC4E8C" w:rsidRDefault="00003799">
      <w:pPr>
        <w:spacing w:after="0"/>
        <w:rPr>
          <w:sz w:val="18"/>
          <w:szCs w:val="18"/>
        </w:rPr>
      </w:pPr>
      <w:r>
        <w:rPr>
          <w:vertAlign w:val="superscript"/>
        </w:rPr>
        <w:footnoteRef/>
      </w:r>
      <w:r>
        <w:rPr>
          <w:sz w:val="18"/>
          <w:szCs w:val="18"/>
        </w:rPr>
        <w:t xml:space="preserve"> HUD, </w:t>
      </w:r>
      <w:r>
        <w:rPr>
          <w:smallCaps/>
          <w:sz w:val="18"/>
          <w:szCs w:val="18"/>
        </w:rPr>
        <w:t>About HUD, Mission</w:t>
      </w:r>
      <w:r>
        <w:rPr>
          <w:sz w:val="18"/>
          <w:szCs w:val="18"/>
        </w:rPr>
        <w:t xml:space="preserve"> (last visited May 20, 2019), </w:t>
      </w:r>
      <w:hyperlink r:id="rId12">
        <w:r>
          <w:rPr>
            <w:color w:val="0563C1"/>
            <w:sz w:val="18"/>
            <w:szCs w:val="18"/>
            <w:u w:val="single"/>
          </w:rPr>
          <w:t>https://www.hud.gov/about/mission</w:t>
        </w:r>
      </w:hyperlink>
      <w:r>
        <w:rPr>
          <w:sz w:val="18"/>
          <w:szCs w:val="18"/>
        </w:rPr>
        <w:t>.</w:t>
      </w:r>
    </w:p>
  </w:footnote>
  <w:footnote w:id="15">
    <w:p w14:paraId="000000EE"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42 U.S.C.A. § 3608(e)(5) (West 2019). </w:t>
      </w:r>
    </w:p>
  </w:footnote>
  <w:footnote w:id="16">
    <w:p w14:paraId="000000EF"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24 C.F.R. § 5.152 (definition of “Affirmatively furthering fair housing”).</w:t>
      </w:r>
    </w:p>
  </w:footnote>
  <w:footnote w:id="17">
    <w:p w14:paraId="000000F0"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RIA at 8.</w:t>
      </w:r>
    </w:p>
  </w:footnote>
  <w:footnote w:id="18">
    <w:p w14:paraId="000000F1" w14:textId="77777777" w:rsidR="00DC4E8C" w:rsidRDefault="0000379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i/>
          <w:color w:val="000000"/>
          <w:sz w:val="18"/>
          <w:szCs w:val="18"/>
        </w:rPr>
        <w:t>Id</w:t>
      </w:r>
      <w:r>
        <w:rPr>
          <w:color w:val="000000"/>
          <w:sz w:val="18"/>
          <w:szCs w:val="18"/>
        </w:rPr>
        <w:t xml:space="preserve">. At 6 (noting that in mixed status households, 73 percent of eligible occupants are children between 0 and 17 years old).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78DA"/>
    <w:multiLevelType w:val="multilevel"/>
    <w:tmpl w:val="45F8C8CC"/>
    <w:lvl w:ilvl="0">
      <w:start w:val="1"/>
      <w:numFmt w:val="bullet"/>
      <w:lvlText w:val="●"/>
      <w:lvlJc w:val="left"/>
      <w:pPr>
        <w:ind w:left="1536" w:hanging="360"/>
      </w:pPr>
      <w:rPr>
        <w:rFonts w:ascii="Noto Sans Symbols" w:eastAsia="Noto Sans Symbols" w:hAnsi="Noto Sans Symbols" w:cs="Noto Sans Symbols"/>
      </w:rPr>
    </w:lvl>
    <w:lvl w:ilvl="1">
      <w:start w:val="1"/>
      <w:numFmt w:val="bullet"/>
      <w:lvlText w:val="o"/>
      <w:lvlJc w:val="left"/>
      <w:pPr>
        <w:ind w:left="2256" w:hanging="360"/>
      </w:pPr>
      <w:rPr>
        <w:rFonts w:ascii="Courier New" w:eastAsia="Courier New" w:hAnsi="Courier New" w:cs="Courier New"/>
      </w:rPr>
    </w:lvl>
    <w:lvl w:ilvl="2">
      <w:start w:val="1"/>
      <w:numFmt w:val="bullet"/>
      <w:lvlText w:val="▪"/>
      <w:lvlJc w:val="left"/>
      <w:pPr>
        <w:ind w:left="2976" w:hanging="360"/>
      </w:pPr>
      <w:rPr>
        <w:rFonts w:ascii="Noto Sans Symbols" w:eastAsia="Noto Sans Symbols" w:hAnsi="Noto Sans Symbols" w:cs="Noto Sans Symbols"/>
      </w:rPr>
    </w:lvl>
    <w:lvl w:ilvl="3">
      <w:start w:val="1"/>
      <w:numFmt w:val="bullet"/>
      <w:lvlText w:val="●"/>
      <w:lvlJc w:val="left"/>
      <w:pPr>
        <w:ind w:left="3696" w:hanging="360"/>
      </w:pPr>
      <w:rPr>
        <w:rFonts w:ascii="Noto Sans Symbols" w:eastAsia="Noto Sans Symbols" w:hAnsi="Noto Sans Symbols" w:cs="Noto Sans Symbols"/>
      </w:rPr>
    </w:lvl>
    <w:lvl w:ilvl="4">
      <w:start w:val="1"/>
      <w:numFmt w:val="bullet"/>
      <w:lvlText w:val="o"/>
      <w:lvlJc w:val="left"/>
      <w:pPr>
        <w:ind w:left="4416" w:hanging="360"/>
      </w:pPr>
      <w:rPr>
        <w:rFonts w:ascii="Courier New" w:eastAsia="Courier New" w:hAnsi="Courier New" w:cs="Courier New"/>
      </w:rPr>
    </w:lvl>
    <w:lvl w:ilvl="5">
      <w:start w:val="1"/>
      <w:numFmt w:val="bullet"/>
      <w:lvlText w:val="▪"/>
      <w:lvlJc w:val="left"/>
      <w:pPr>
        <w:ind w:left="5136" w:hanging="360"/>
      </w:pPr>
      <w:rPr>
        <w:rFonts w:ascii="Noto Sans Symbols" w:eastAsia="Noto Sans Symbols" w:hAnsi="Noto Sans Symbols" w:cs="Noto Sans Symbols"/>
      </w:rPr>
    </w:lvl>
    <w:lvl w:ilvl="6">
      <w:start w:val="1"/>
      <w:numFmt w:val="bullet"/>
      <w:lvlText w:val="●"/>
      <w:lvlJc w:val="left"/>
      <w:pPr>
        <w:ind w:left="5856" w:hanging="360"/>
      </w:pPr>
      <w:rPr>
        <w:rFonts w:ascii="Noto Sans Symbols" w:eastAsia="Noto Sans Symbols" w:hAnsi="Noto Sans Symbols" w:cs="Noto Sans Symbols"/>
      </w:rPr>
    </w:lvl>
    <w:lvl w:ilvl="7">
      <w:start w:val="1"/>
      <w:numFmt w:val="bullet"/>
      <w:lvlText w:val="o"/>
      <w:lvlJc w:val="left"/>
      <w:pPr>
        <w:ind w:left="6576" w:hanging="360"/>
      </w:pPr>
      <w:rPr>
        <w:rFonts w:ascii="Courier New" w:eastAsia="Courier New" w:hAnsi="Courier New" w:cs="Courier New"/>
      </w:rPr>
    </w:lvl>
    <w:lvl w:ilvl="8">
      <w:start w:val="1"/>
      <w:numFmt w:val="bullet"/>
      <w:lvlText w:val="▪"/>
      <w:lvlJc w:val="left"/>
      <w:pPr>
        <w:ind w:left="7296" w:hanging="360"/>
      </w:pPr>
      <w:rPr>
        <w:rFonts w:ascii="Noto Sans Symbols" w:eastAsia="Noto Sans Symbols" w:hAnsi="Noto Sans Symbols" w:cs="Noto Sans Symbols"/>
      </w:rPr>
    </w:lvl>
  </w:abstractNum>
  <w:abstractNum w:abstractNumId="1" w15:restartNumberingAfterBreak="0">
    <w:nsid w:val="238F688F"/>
    <w:multiLevelType w:val="multilevel"/>
    <w:tmpl w:val="8E1A28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F756AF"/>
    <w:multiLevelType w:val="multilevel"/>
    <w:tmpl w:val="A5E01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4423DB"/>
    <w:multiLevelType w:val="multilevel"/>
    <w:tmpl w:val="8E1A28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8C"/>
    <w:rsid w:val="00003799"/>
    <w:rsid w:val="00093C74"/>
    <w:rsid w:val="001C51DB"/>
    <w:rsid w:val="001D51A7"/>
    <w:rsid w:val="0024004B"/>
    <w:rsid w:val="002F0D53"/>
    <w:rsid w:val="00307680"/>
    <w:rsid w:val="0033657D"/>
    <w:rsid w:val="00340097"/>
    <w:rsid w:val="004243BA"/>
    <w:rsid w:val="00433C12"/>
    <w:rsid w:val="004B24D0"/>
    <w:rsid w:val="004B342E"/>
    <w:rsid w:val="00501427"/>
    <w:rsid w:val="00513FE2"/>
    <w:rsid w:val="00554F04"/>
    <w:rsid w:val="00555F4E"/>
    <w:rsid w:val="00612C84"/>
    <w:rsid w:val="00683FC4"/>
    <w:rsid w:val="0070757C"/>
    <w:rsid w:val="00750291"/>
    <w:rsid w:val="007B6155"/>
    <w:rsid w:val="007F3C8B"/>
    <w:rsid w:val="008453E9"/>
    <w:rsid w:val="00860307"/>
    <w:rsid w:val="0086573D"/>
    <w:rsid w:val="0099298B"/>
    <w:rsid w:val="009B29E6"/>
    <w:rsid w:val="009B59BA"/>
    <w:rsid w:val="009F2318"/>
    <w:rsid w:val="00A40285"/>
    <w:rsid w:val="00A576D0"/>
    <w:rsid w:val="00AA0CC8"/>
    <w:rsid w:val="00B059B2"/>
    <w:rsid w:val="00B54342"/>
    <w:rsid w:val="00BA7E9F"/>
    <w:rsid w:val="00BC7815"/>
    <w:rsid w:val="00BD16C3"/>
    <w:rsid w:val="00C17C58"/>
    <w:rsid w:val="00C73E00"/>
    <w:rsid w:val="00CE402D"/>
    <w:rsid w:val="00DB6C90"/>
    <w:rsid w:val="00DB7D08"/>
    <w:rsid w:val="00DC2DEF"/>
    <w:rsid w:val="00DC4E8C"/>
    <w:rsid w:val="00DE235A"/>
    <w:rsid w:val="00E33F89"/>
    <w:rsid w:val="00E64408"/>
    <w:rsid w:val="00EE3356"/>
    <w:rsid w:val="00EE4046"/>
    <w:rsid w:val="00F164CC"/>
    <w:rsid w:val="00F2212A"/>
    <w:rsid w:val="00F949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7385"/>
  <w15:docId w15:val="{83577E9C-6DAE-4328-A202-7D3AE43C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243BA"/>
    <w:rPr>
      <w:color w:val="0000FF" w:themeColor="hyperlink"/>
      <w:u w:val="single"/>
    </w:rPr>
  </w:style>
  <w:style w:type="paragraph" w:styleId="BalloonText">
    <w:name w:val="Balloon Text"/>
    <w:basedOn w:val="Normal"/>
    <w:link w:val="BalloonTextChar"/>
    <w:uiPriority w:val="99"/>
    <w:semiHidden/>
    <w:unhideWhenUsed/>
    <w:rsid w:val="00E6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408"/>
    <w:rPr>
      <w:rFonts w:ascii="Tahoma" w:hAnsi="Tahoma" w:cs="Tahoma"/>
      <w:sz w:val="16"/>
      <w:szCs w:val="16"/>
    </w:rPr>
  </w:style>
  <w:style w:type="paragraph" w:styleId="ListParagraph">
    <w:name w:val="List Paragraph"/>
    <w:basedOn w:val="Normal"/>
    <w:uiPriority w:val="34"/>
    <w:qFormat/>
    <w:rsid w:val="00B54342"/>
    <w:pPr>
      <w:ind w:left="720"/>
      <w:contextualSpacing/>
    </w:pPr>
  </w:style>
  <w:style w:type="paragraph" w:styleId="FootnoteText">
    <w:name w:val="footnote text"/>
    <w:basedOn w:val="Normal"/>
    <w:link w:val="FootnoteTextChar"/>
    <w:uiPriority w:val="99"/>
    <w:semiHidden/>
    <w:unhideWhenUsed/>
    <w:rsid w:val="00683F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FC4"/>
    <w:rPr>
      <w:sz w:val="20"/>
      <w:szCs w:val="20"/>
    </w:rPr>
  </w:style>
  <w:style w:type="character" w:styleId="FootnoteReference">
    <w:name w:val="footnote reference"/>
    <w:basedOn w:val="DefaultParagraphFont"/>
    <w:uiPriority w:val="99"/>
    <w:semiHidden/>
    <w:unhideWhenUsed/>
    <w:rsid w:val="00683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org/sites/default/files/publication/32706/412899-The-Negative-Effects-of-Instability-on-Child-Development-A-Research-Synthesis.PDF" TargetMode="External"/><Relationship Id="rId3" Type="http://schemas.openxmlformats.org/officeDocument/2006/relationships/settings" Target="settings.xml"/><Relationship Id="rId7" Type="http://schemas.openxmlformats.org/officeDocument/2006/relationships/hyperlink" Target="http://pediatrics.aappublications.org/content/141/2/e201721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gradworks.umi.com/3639463.pdf" TargetMode="External"/><Relationship Id="rId3" Type="http://schemas.openxmlformats.org/officeDocument/2006/relationships/hyperlink" Target="https://www.ncbi.nlm.nih.gov/pmc/articles/PMC6173255/" TargetMode="External"/><Relationship Id="rId7" Type="http://schemas.openxmlformats.org/officeDocument/2006/relationships/hyperlink" Target="https://www.urban.org/sites/default/files/publication/32706/412899-The-Negative-Effects-of-Instability-on-Child-Development-A-Research-Synthesis.PDF" TargetMode="External"/><Relationship Id="rId12" Type="http://schemas.openxmlformats.org/officeDocument/2006/relationships/hyperlink" Target="https://www.hud.gov/about/mission" TargetMode="External"/><Relationship Id="rId2" Type="http://schemas.openxmlformats.org/officeDocument/2006/relationships/hyperlink" Target="http://www.bu.edu/sph/2018/10/05/the-hidden-health-crisis-of-eviction/" TargetMode="External"/><Relationship Id="rId1" Type="http://schemas.openxmlformats.org/officeDocument/2006/relationships/hyperlink" Target="https://www.cbpp.org/research/housing/demographic-data-highlight-potential-harm-of-new-trump-proposal-to-restrict-housing" TargetMode="External"/><Relationship Id="rId6" Type="http://schemas.openxmlformats.org/officeDocument/2006/relationships/hyperlink" Target="http://www.childrensdefense.org/library/PovertyReport/assets/ReducingChildPovertyintheUSCostsandImpactsofPol%20iciesProposedbytheChildrensDefenseFund.pdf." TargetMode="External"/><Relationship Id="rId11" Type="http://schemas.openxmlformats.org/officeDocument/2006/relationships/hyperlink" Target="https://www.npr.org/2018/02/13/585255697/white-house-budget-calls-for-deep-cuts-to-hud" TargetMode="External"/><Relationship Id="rId5" Type="http://schemas.openxmlformats.org/officeDocument/2006/relationships/hyperlink" Target="https://www.cbpp.org/research/research-shows-housing-vouchers-reduce-hardship-and-provide-platform-for-longterm-gains" TargetMode="External"/><Relationship Id="rId10" Type="http://schemas.openxmlformats.org/officeDocument/2006/relationships/hyperlink" Target="https://www.cbpp.org/blog/housing-vouchers-work-huge-demand-insufficient-funding-for-housing-vouchers-means-long-waits" TargetMode="External"/><Relationship Id="rId4" Type="http://schemas.openxmlformats.org/officeDocument/2006/relationships/hyperlink" Target="http://pediatrics.aappublications.org/content/141/2/e20172199" TargetMode="External"/><Relationship Id="rId9" Type="http://schemas.openxmlformats.org/officeDocument/2006/relationships/hyperlink" Target="https://www.washingtonpost.com/business/2019/04/18/trump-proposal-would-evict-undocumented-immigrants-public-housing/?utm_term=.f68fec836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Nahida</dc:creator>
  <cp:lastModifiedBy>Sarah Barnes</cp:lastModifiedBy>
  <cp:revision>4</cp:revision>
  <cp:lastPrinted>2019-07-01T16:25:00Z</cp:lastPrinted>
  <dcterms:created xsi:type="dcterms:W3CDTF">2019-07-01T22:12:00Z</dcterms:created>
  <dcterms:modified xsi:type="dcterms:W3CDTF">2019-07-01T22:16:00Z</dcterms:modified>
</cp:coreProperties>
</file>